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cs="Times New Roman"/>
          <w:b/>
          <w:bCs/>
          <w:sz w:val="28"/>
          <w:szCs w:val="28"/>
        </w:rPr>
      </w:pPr>
      <w:r>
        <w:rPr>
          <w:rFonts w:hint="eastAsia" w:ascii="仿宋_GB2312" w:hAnsi="仿宋_GB2312" w:eastAsia="仿宋_GB2312" w:cs="仿宋_GB2312"/>
          <w:b/>
          <w:bCs/>
          <w:sz w:val="32"/>
          <w:szCs w:val="32"/>
        </w:rPr>
        <w:t>附件2：</w:t>
      </w:r>
      <w:bookmarkStart w:id="0" w:name="OLE_LINK3"/>
      <w:bookmarkStart w:id="1" w:name="OLE_LINK2"/>
      <w:bookmarkStart w:id="2" w:name="OLE_LINK1"/>
      <w:bookmarkStart w:id="3" w:name="OLE_LINK4"/>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宋体" w:hAnsi="宋体" w:cs="宋体"/>
          <w:b/>
          <w:bCs/>
          <w:sz w:val="28"/>
          <w:szCs w:val="28"/>
        </w:rPr>
        <w:t>创新展申请表（代合同）</w:t>
      </w:r>
    </w:p>
    <w:p>
      <w:pPr>
        <w:spacing w:line="600" w:lineRule="exact"/>
        <w:rPr>
          <w:rFonts w:ascii="仿宋_GB2312" w:hAnsi="仿宋_GB2312" w:eastAsia="仿宋_GB2312" w:cs="Times New Roman"/>
          <w:sz w:val="32"/>
          <w:szCs w:val="32"/>
        </w:rPr>
      </w:pPr>
      <w:r>
        <w:rPr>
          <w:rFonts w:hint="eastAsia" w:ascii="仿宋_GB2312" w:hAnsi="仿宋_GB2312" w:eastAsia="仿宋_GB2312" w:cs="仿宋_GB2312"/>
          <w:sz w:val="24"/>
          <w:szCs w:val="24"/>
        </w:rPr>
        <w:t>国际物流创新展（</w:t>
      </w:r>
      <w:r>
        <w:rPr>
          <w:rFonts w:ascii="仿宋_GB2312" w:hAnsi="仿宋_GB2312" w:eastAsia="仿宋_GB2312" w:cs="仿宋_GB2312"/>
          <w:sz w:val="24"/>
          <w:szCs w:val="24"/>
        </w:rPr>
        <w:t>2019</w:t>
      </w:r>
      <w:r>
        <w:rPr>
          <w:rFonts w:hint="eastAsia" w:ascii="仿宋_GB2312" w:hAnsi="仿宋_GB2312" w:eastAsia="仿宋_GB2312" w:cs="仿宋_GB2312"/>
          <w:sz w:val="24"/>
          <w:szCs w:val="24"/>
        </w:rPr>
        <w:t>·广州）</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2019.6.20-22</w:t>
      </w:r>
      <w:r>
        <w:rPr>
          <w:rFonts w:hint="eastAsia" w:ascii="仿宋_GB2312" w:hAnsi="仿宋_GB2312" w:eastAsia="仿宋_GB2312" w:cs="仿宋_GB2312"/>
          <w:sz w:val="24"/>
          <w:szCs w:val="24"/>
        </w:rPr>
        <w:t>日</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广州·白云国际会议中心</w:t>
      </w:r>
    </w:p>
    <w:tbl>
      <w:tblPr>
        <w:tblStyle w:val="2"/>
        <w:tblpPr w:leftFromText="180" w:rightFromText="180" w:vertAnchor="text" w:horzAnchor="page" w:tblpX="1284" w:tblpY="63"/>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964"/>
        <w:gridCol w:w="1254"/>
        <w:gridCol w:w="1036"/>
        <w:gridCol w:w="132"/>
        <w:gridCol w:w="2364"/>
        <w:gridCol w:w="1323"/>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trPr>
        <w:tc>
          <w:tcPr>
            <w:tcW w:w="2426" w:type="dxa"/>
            <w:gridSpan w:val="2"/>
            <w:vMerge w:val="restart"/>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单位名称</w:t>
            </w:r>
          </w:p>
        </w:tc>
        <w:tc>
          <w:tcPr>
            <w:tcW w:w="1254"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中文</w:t>
            </w:r>
          </w:p>
        </w:tc>
        <w:tc>
          <w:tcPr>
            <w:tcW w:w="6088" w:type="dxa"/>
            <w:gridSpan w:val="5"/>
            <w:vAlign w:val="center"/>
          </w:tcPr>
          <w:p>
            <w:pPr>
              <w:spacing w:line="280" w:lineRule="exact"/>
              <w:jc w:val="left"/>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rPr>
        <w:tc>
          <w:tcPr>
            <w:tcW w:w="2426" w:type="dxa"/>
            <w:gridSpan w:val="2"/>
            <w:vMerge w:val="continue"/>
            <w:vAlign w:val="center"/>
          </w:tcPr>
          <w:p>
            <w:pPr>
              <w:spacing w:line="280" w:lineRule="exact"/>
              <w:jc w:val="center"/>
              <w:rPr>
                <w:rFonts w:ascii="仿宋_GB2312" w:hAnsi="仿宋_GB2312" w:eastAsia="仿宋_GB2312" w:cs="Times New Roman"/>
                <w:sz w:val="20"/>
                <w:szCs w:val="20"/>
              </w:rPr>
            </w:pPr>
          </w:p>
        </w:tc>
        <w:tc>
          <w:tcPr>
            <w:tcW w:w="1254"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英文</w:t>
            </w:r>
          </w:p>
        </w:tc>
        <w:tc>
          <w:tcPr>
            <w:tcW w:w="6088" w:type="dxa"/>
            <w:gridSpan w:val="5"/>
            <w:vAlign w:val="center"/>
          </w:tcPr>
          <w:p>
            <w:pPr>
              <w:spacing w:line="280" w:lineRule="exact"/>
              <w:jc w:val="left"/>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申请展示类型</w:t>
            </w:r>
          </w:p>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（请打</w:t>
            </w:r>
            <w:r>
              <w:rPr>
                <w:rFonts w:ascii="Arial" w:hAnsi="Arial" w:eastAsia="仿宋_GB2312" w:cs="Arial"/>
                <w:sz w:val="20"/>
                <w:szCs w:val="20"/>
              </w:rPr>
              <w:t>√</w:t>
            </w:r>
            <w:r>
              <w:rPr>
                <w:rFonts w:hint="eastAsia" w:ascii="仿宋_GB2312" w:hAnsi="仿宋_GB2312" w:eastAsia="仿宋_GB2312" w:cs="仿宋_GB2312"/>
                <w:sz w:val="20"/>
                <w:szCs w:val="20"/>
              </w:rPr>
              <w:t>）</w:t>
            </w:r>
          </w:p>
        </w:tc>
        <w:tc>
          <w:tcPr>
            <w:tcW w:w="7342" w:type="dxa"/>
            <w:gridSpan w:val="6"/>
            <w:vAlign w:val="center"/>
          </w:tcPr>
          <w:p>
            <w:pPr>
              <w:spacing w:line="280" w:lineRule="exact"/>
              <w:ind w:firstLine="200" w:firstLineChars="100"/>
              <w:rPr>
                <w:rFonts w:ascii="仿宋_GB2312" w:hAnsi="仿宋_GB2312" w:eastAsia="仿宋_GB2312" w:cs="Times New Roman"/>
                <w:sz w:val="20"/>
                <w:szCs w:val="20"/>
              </w:rPr>
            </w:pPr>
            <w:r>
              <w:rPr>
                <w:rFonts w:hint="eastAsia" w:ascii="仿宋_GB2312" w:hAnsi="Wingdings 2" w:eastAsia="仿宋_GB2312" w:cs="Times New Roman"/>
                <w:sz w:val="20"/>
                <w:szCs w:val="20"/>
              </w:rPr>
              <w:sym w:font="Wingdings 2" w:char="F0A3"/>
            </w:r>
            <w:r>
              <w:rPr>
                <w:rFonts w:hint="eastAsia" w:ascii="仿宋_GB2312" w:hAnsi="仿宋_GB2312" w:eastAsia="仿宋_GB2312" w:cs="仿宋_GB2312"/>
                <w:sz w:val="20"/>
                <w:szCs w:val="20"/>
              </w:rPr>
              <w:t>省市政府版</w:t>
            </w:r>
            <w:r>
              <w:rPr>
                <w:rFonts w:ascii="仿宋_GB2312" w:hAnsi="仿宋_GB2312" w:eastAsia="仿宋_GB2312" w:cs="仿宋_GB2312"/>
                <w:sz w:val="20"/>
                <w:szCs w:val="20"/>
              </w:rPr>
              <w:t xml:space="preserve">   </w:t>
            </w:r>
            <w:r>
              <w:rPr>
                <w:rFonts w:hint="eastAsia" w:ascii="仿宋_GB2312" w:hAnsi="Wingdings 2" w:eastAsia="仿宋_GB2312" w:cs="Times New Roman"/>
                <w:sz w:val="20"/>
                <w:szCs w:val="20"/>
              </w:rPr>
              <w:sym w:font="Wingdings 2" w:char="F0A3"/>
            </w:r>
            <w:r>
              <w:rPr>
                <w:rFonts w:hint="eastAsia" w:ascii="仿宋_GB2312" w:hAnsi="仿宋_GB2312" w:eastAsia="仿宋_GB2312" w:cs="仿宋_GB2312"/>
                <w:sz w:val="20"/>
                <w:szCs w:val="20"/>
              </w:rPr>
              <w:t>县区版</w:t>
            </w:r>
            <w:r>
              <w:rPr>
                <w:rFonts w:ascii="仿宋_GB2312" w:hAnsi="仿宋_GB2312" w:eastAsia="仿宋_GB2312" w:cs="仿宋_GB2312"/>
                <w:sz w:val="20"/>
                <w:szCs w:val="20"/>
              </w:rPr>
              <w:t xml:space="preserve">    </w:t>
            </w:r>
            <w:r>
              <w:rPr>
                <w:rFonts w:hint="eastAsia" w:ascii="仿宋_GB2312" w:hAnsi="Wingdings 2" w:eastAsia="仿宋_GB2312" w:cs="Times New Roman"/>
                <w:sz w:val="20"/>
                <w:szCs w:val="20"/>
              </w:rPr>
              <w:sym w:font="Wingdings 2" w:char="F0A3"/>
            </w:r>
            <w:r>
              <w:rPr>
                <w:rFonts w:hint="eastAsia" w:ascii="仿宋_GB2312" w:hAnsi="仿宋_GB2312" w:eastAsia="仿宋_GB2312" w:cs="仿宋_GB2312"/>
                <w:sz w:val="20"/>
                <w:szCs w:val="20"/>
              </w:rPr>
              <w:t>服务版</w:t>
            </w:r>
            <w:r>
              <w:rPr>
                <w:rFonts w:ascii="仿宋_GB2312" w:hAnsi="仿宋_GB2312" w:eastAsia="仿宋_GB2312" w:cs="仿宋_GB2312"/>
                <w:sz w:val="20"/>
                <w:szCs w:val="20"/>
              </w:rPr>
              <w:t xml:space="preserve">    </w:t>
            </w:r>
            <w:r>
              <w:rPr>
                <w:rFonts w:hint="eastAsia" w:ascii="仿宋_GB2312" w:hAnsi="Wingdings 2" w:eastAsia="仿宋_GB2312" w:cs="Times New Roman"/>
                <w:sz w:val="20"/>
                <w:szCs w:val="20"/>
              </w:rPr>
              <w:sym w:font="Wingdings 2" w:char="F0A3"/>
            </w:r>
            <w:r>
              <w:rPr>
                <w:rFonts w:hint="eastAsia" w:ascii="仿宋_GB2312" w:hAnsi="仿宋_GB2312" w:eastAsia="仿宋_GB2312" w:cs="仿宋_GB2312"/>
                <w:sz w:val="20"/>
                <w:szCs w:val="20"/>
              </w:rPr>
              <w:t>企业版</w:t>
            </w:r>
            <w:r>
              <w:rPr>
                <w:rFonts w:ascii="仿宋_GB2312" w:hAnsi="仿宋_GB2312" w:eastAsia="仿宋_GB2312" w:cs="仿宋_GB2312"/>
                <w:sz w:val="20"/>
                <w:szCs w:val="20"/>
              </w:rPr>
              <w:t xml:space="preserve">    </w:t>
            </w:r>
            <w:r>
              <w:rPr>
                <w:rFonts w:hint="eastAsia" w:ascii="仿宋_GB2312" w:hAnsi="Wingdings 2" w:eastAsia="仿宋_GB2312" w:cs="Times New Roman"/>
                <w:sz w:val="20"/>
                <w:szCs w:val="20"/>
              </w:rPr>
              <w:sym w:font="Wingdings 2" w:char="F0A3"/>
            </w:r>
            <w:r>
              <w:rPr>
                <w:rFonts w:hint="eastAsia" w:ascii="仿宋_GB2312" w:hAnsi="仿宋_GB2312" w:eastAsia="仿宋_GB2312" w:cs="仿宋_GB2312"/>
                <w:sz w:val="20"/>
                <w:szCs w:val="20"/>
              </w:rPr>
              <w:t>会员版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通信地址</w:t>
            </w:r>
          </w:p>
        </w:tc>
        <w:tc>
          <w:tcPr>
            <w:tcW w:w="4786" w:type="dxa"/>
            <w:gridSpan w:val="4"/>
            <w:vAlign w:val="center"/>
          </w:tcPr>
          <w:p>
            <w:pPr>
              <w:spacing w:line="280" w:lineRule="exact"/>
              <w:jc w:val="left"/>
              <w:rPr>
                <w:rFonts w:ascii="仿宋_GB2312" w:hAnsi="仿宋_GB2312" w:eastAsia="仿宋_GB2312" w:cs="Times New Roman"/>
                <w:sz w:val="20"/>
                <w:szCs w:val="20"/>
              </w:rPr>
            </w:pPr>
          </w:p>
        </w:tc>
        <w:tc>
          <w:tcPr>
            <w:tcW w:w="1323"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邮政编码</w:t>
            </w:r>
          </w:p>
        </w:tc>
        <w:tc>
          <w:tcPr>
            <w:tcW w:w="1233" w:type="dxa"/>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vAlign w:val="center"/>
          </w:tcPr>
          <w:p>
            <w:pPr>
              <w:spacing w:line="280" w:lineRule="exact"/>
              <w:jc w:val="center"/>
              <w:rPr>
                <w:rFonts w:ascii="仿宋_GB2312" w:hAnsi="仿宋_GB2312" w:eastAsia="仿宋_GB2312" w:cs="Times New Roman"/>
                <w:color w:val="FF0000"/>
                <w:sz w:val="20"/>
                <w:szCs w:val="20"/>
              </w:rPr>
            </w:pPr>
            <w:r>
              <w:rPr>
                <w:rFonts w:hint="eastAsia" w:ascii="仿宋_GB2312" w:hAnsi="仿宋_GB2312" w:eastAsia="仿宋_GB2312" w:cs="仿宋_GB2312"/>
                <w:color w:val="000000" w:themeColor="text1"/>
                <w:sz w:val="20"/>
                <w:szCs w:val="20"/>
                <w14:textFill>
                  <w14:solidFill>
                    <w14:schemeClr w14:val="tx1"/>
                  </w14:solidFill>
                </w14:textFill>
              </w:rPr>
              <w:t>统一社会信用代码</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法人代表</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固话</w:t>
            </w:r>
            <w:r>
              <w:rPr>
                <w:rFonts w:ascii="仿宋_GB2312" w:hAnsi="仿宋_GB2312" w:eastAsia="仿宋_GB2312" w:cs="仿宋_GB2312"/>
                <w:sz w:val="20"/>
                <w:szCs w:val="20"/>
              </w:rPr>
              <w:t>/</w:t>
            </w:r>
            <w:r>
              <w:rPr>
                <w:rFonts w:hint="eastAsia" w:ascii="仿宋_GB2312" w:hAnsi="仿宋_GB2312" w:eastAsia="仿宋_GB2312" w:cs="仿宋_GB2312"/>
                <w:sz w:val="20"/>
                <w:szCs w:val="20"/>
              </w:rPr>
              <w:t>传真</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ascii="仿宋_GB2312" w:hAnsi="仿宋_GB2312" w:eastAsia="仿宋_GB2312" w:cs="仿宋_GB2312"/>
                <w:sz w:val="20"/>
                <w:szCs w:val="20"/>
              </w:rPr>
              <w:t>APP</w:t>
            </w:r>
            <w:r>
              <w:rPr>
                <w:rFonts w:hint="eastAsia" w:ascii="仿宋_GB2312" w:hAnsi="仿宋_GB2312" w:eastAsia="仿宋_GB2312" w:cs="仿宋_GB2312"/>
                <w:sz w:val="20"/>
                <w:szCs w:val="20"/>
              </w:rPr>
              <w:t>、官方及专用网站</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联系人姓名</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联系人职务</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联系人手机</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联系人邮箱</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rPr>
        <w:tc>
          <w:tcPr>
            <w:tcW w:w="462" w:type="dxa"/>
            <w:vMerge w:val="restart"/>
            <w:vAlign w:val="center"/>
          </w:tcPr>
          <w:p>
            <w:pPr>
              <w:spacing w:line="280" w:lineRule="exact"/>
              <w:rPr>
                <w:rFonts w:ascii="仿宋_GB2312" w:hAnsi="仿宋_GB2312" w:eastAsia="仿宋_GB2312" w:cs="Times New Roman"/>
                <w:sz w:val="20"/>
                <w:szCs w:val="20"/>
              </w:rPr>
            </w:pPr>
            <w:r>
              <w:rPr>
                <w:rFonts w:hint="eastAsia" w:ascii="仿宋_GB2312" w:hAnsi="仿宋_GB2312" w:eastAsia="仿宋_GB2312" w:cs="仿宋_GB2312"/>
                <w:sz w:val="20"/>
                <w:szCs w:val="20"/>
              </w:rPr>
              <w:t>展位选择</w:t>
            </w:r>
          </w:p>
        </w:tc>
        <w:tc>
          <w:tcPr>
            <w:tcW w:w="1964"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升级标摊（</w:t>
            </w:r>
            <w:r>
              <w:rPr>
                <w:rFonts w:ascii="仿宋_GB2312" w:hAnsi="仿宋_GB2312" w:eastAsia="仿宋_GB2312" w:cs="仿宋_GB2312"/>
                <w:sz w:val="20"/>
                <w:szCs w:val="20"/>
              </w:rPr>
              <w:t>9</w:t>
            </w:r>
            <w:r>
              <w:rPr>
                <w:rFonts w:hint="eastAsia" w:ascii="仿宋_GB2312" w:hAnsi="仿宋_GB2312" w:eastAsia="仿宋_GB2312" w:cs="仿宋_GB2312"/>
                <w:sz w:val="20"/>
                <w:szCs w:val="20"/>
              </w:rPr>
              <w:t>㎡</w:t>
            </w:r>
            <w:r>
              <w:rPr>
                <w:rFonts w:ascii="仿宋_GB2312" w:hAnsi="仿宋_GB2312" w:eastAsia="仿宋_GB2312" w:cs="仿宋_GB2312"/>
                <w:sz w:val="20"/>
                <w:szCs w:val="20"/>
              </w:rPr>
              <w:t>/</w:t>
            </w:r>
            <w:r>
              <w:rPr>
                <w:rFonts w:hint="eastAsia" w:ascii="仿宋_GB2312" w:hAnsi="仿宋_GB2312" w:eastAsia="仿宋_GB2312" w:cs="仿宋_GB2312"/>
                <w:sz w:val="20"/>
                <w:szCs w:val="20"/>
              </w:rPr>
              <w:t>个）</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展品内容</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atLeast"/>
        </w:trPr>
        <w:tc>
          <w:tcPr>
            <w:tcW w:w="462" w:type="dxa"/>
            <w:vMerge w:val="continue"/>
            <w:vAlign w:val="center"/>
          </w:tcPr>
          <w:p>
            <w:pPr>
              <w:spacing w:line="280" w:lineRule="exact"/>
              <w:jc w:val="center"/>
              <w:rPr>
                <w:rFonts w:ascii="仿宋_GB2312" w:hAnsi="仿宋_GB2312" w:eastAsia="仿宋_GB2312" w:cs="Times New Roman"/>
                <w:sz w:val="20"/>
                <w:szCs w:val="20"/>
              </w:rPr>
            </w:pPr>
          </w:p>
        </w:tc>
        <w:tc>
          <w:tcPr>
            <w:tcW w:w="1964"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标摊开口（单</w:t>
            </w:r>
            <w:r>
              <w:rPr>
                <w:rFonts w:ascii="仿宋_GB2312" w:hAnsi="仿宋_GB2312" w:eastAsia="仿宋_GB2312" w:cs="仿宋_GB2312"/>
                <w:sz w:val="20"/>
                <w:szCs w:val="20"/>
              </w:rPr>
              <w:t>/</w:t>
            </w:r>
            <w:r>
              <w:rPr>
                <w:rFonts w:hint="eastAsia" w:ascii="仿宋_GB2312" w:hAnsi="仿宋_GB2312" w:eastAsia="仿宋_GB2312" w:cs="仿宋_GB2312"/>
                <w:sz w:val="20"/>
                <w:szCs w:val="20"/>
              </w:rPr>
              <w:t>双）</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参展品牌</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trPr>
        <w:tc>
          <w:tcPr>
            <w:tcW w:w="462" w:type="dxa"/>
            <w:vMerge w:val="continue"/>
            <w:vAlign w:val="center"/>
          </w:tcPr>
          <w:p>
            <w:pPr>
              <w:spacing w:line="280" w:lineRule="exact"/>
              <w:jc w:val="center"/>
              <w:rPr>
                <w:rFonts w:ascii="仿宋_GB2312" w:hAnsi="仿宋_GB2312" w:eastAsia="仿宋_GB2312" w:cs="Times New Roman"/>
                <w:sz w:val="20"/>
                <w:szCs w:val="20"/>
              </w:rPr>
            </w:pPr>
          </w:p>
        </w:tc>
        <w:tc>
          <w:tcPr>
            <w:tcW w:w="1964" w:type="dxa"/>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光地（</w:t>
            </w:r>
            <w:r>
              <w:rPr>
                <w:rFonts w:ascii="仿宋_GB2312" w:hAnsi="仿宋_GB2312" w:eastAsia="仿宋_GB2312" w:cs="仿宋_GB2312"/>
                <w:sz w:val="20"/>
                <w:szCs w:val="20"/>
              </w:rPr>
              <w:t>36</w:t>
            </w:r>
            <w:r>
              <w:rPr>
                <w:rFonts w:hint="eastAsia" w:ascii="仿宋_GB2312" w:hAnsi="仿宋_GB2312" w:eastAsia="仿宋_GB2312" w:cs="仿宋_GB2312"/>
                <w:sz w:val="20"/>
                <w:szCs w:val="20"/>
              </w:rPr>
              <w:t>㎡起）</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展品最大外型尺寸（</w:t>
            </w:r>
            <w:r>
              <w:rPr>
                <w:rFonts w:ascii="仿宋_GB2312" w:hAnsi="仿宋_GB2312" w:eastAsia="仿宋_GB2312" w:cs="仿宋_GB2312"/>
                <w:sz w:val="20"/>
                <w:szCs w:val="20"/>
              </w:rPr>
              <w:t>mm</w:t>
            </w:r>
            <w:r>
              <w:rPr>
                <w:rFonts w:hint="eastAsia" w:ascii="仿宋_GB2312" w:hAnsi="仿宋_GB2312" w:eastAsia="仿宋_GB2312" w:cs="仿宋_GB2312"/>
                <w:sz w:val="20"/>
                <w:szCs w:val="20"/>
              </w:rPr>
              <w:t>）</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展位编号</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广告尺寸</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展位费</w:t>
            </w:r>
          </w:p>
        </w:tc>
        <w:tc>
          <w:tcPr>
            <w:tcW w:w="2290" w:type="dxa"/>
            <w:gridSpan w:val="2"/>
            <w:vAlign w:val="center"/>
          </w:tcPr>
          <w:p>
            <w:pPr>
              <w:spacing w:line="280" w:lineRule="exact"/>
              <w:jc w:val="center"/>
              <w:rPr>
                <w:rFonts w:ascii="仿宋_GB2312" w:hAnsi="仿宋_GB2312" w:eastAsia="仿宋_GB2312" w:cs="Times New Roman"/>
                <w:sz w:val="20"/>
                <w:szCs w:val="20"/>
              </w:rPr>
            </w:pPr>
          </w:p>
        </w:tc>
        <w:tc>
          <w:tcPr>
            <w:tcW w:w="249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会刊广告费</w:t>
            </w:r>
          </w:p>
        </w:tc>
        <w:tc>
          <w:tcPr>
            <w:tcW w:w="2556" w:type="dxa"/>
            <w:gridSpan w:val="2"/>
            <w:vAlign w:val="center"/>
          </w:tcPr>
          <w:p>
            <w:pPr>
              <w:spacing w:line="280" w:lineRule="exact"/>
              <w:jc w:val="center"/>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广告与赞助商机</w:t>
            </w:r>
          </w:p>
        </w:tc>
        <w:tc>
          <w:tcPr>
            <w:tcW w:w="7342" w:type="dxa"/>
            <w:gridSpan w:val="6"/>
            <w:vAlign w:val="center"/>
          </w:tcPr>
          <w:p>
            <w:pPr>
              <w:spacing w:line="280" w:lineRule="exact"/>
              <w:jc w:val="left"/>
              <w:rPr>
                <w:rFonts w:ascii="仿宋_GB2312" w:hAnsi="仿宋_GB2312" w:eastAsia="仿宋_GB2312" w:cs="Times New Roman"/>
                <w:sz w:val="20"/>
                <w:szCs w:val="20"/>
              </w:rPr>
            </w:pPr>
            <w:r>
              <w:rPr>
                <w:rFonts w:hint="eastAsia" w:ascii="仿宋_GB2312" w:hAnsi="仿宋_GB2312" w:eastAsia="仿宋_GB2312" w:cs="Times New Roman"/>
                <w:sz w:val="20"/>
                <w:szCs w:val="20"/>
              </w:rPr>
              <w:t xml:space="preserve">□ 胸牌 □论坛 </w:t>
            </w:r>
            <w:r>
              <w:rPr>
                <w:rFonts w:hint="eastAsia" w:ascii="仿宋_GB2312" w:hAnsi="仿宋_GB2312" w:eastAsia="仿宋_GB2312" w:cs="Times New Roman"/>
                <w:sz w:val="20"/>
                <w:szCs w:val="20"/>
              </w:rPr>
              <w:sym w:font="Wingdings 2" w:char="00A3"/>
            </w:r>
            <w:r>
              <w:rPr>
                <w:rFonts w:hint="eastAsia" w:ascii="仿宋_GB2312" w:hAnsi="仿宋_GB2312" w:eastAsia="仿宋_GB2312" w:cs="Times New Roman"/>
                <w:sz w:val="20"/>
                <w:szCs w:val="20"/>
              </w:rPr>
              <w:t xml:space="preserve">礼品手袋 </w:t>
            </w:r>
            <w:r>
              <w:rPr>
                <w:rFonts w:hint="eastAsia" w:ascii="仿宋_GB2312" w:hAnsi="仿宋_GB2312" w:eastAsia="仿宋_GB2312" w:cs="Times New Roman"/>
                <w:sz w:val="20"/>
                <w:szCs w:val="20"/>
              </w:rPr>
              <w:sym w:font="Wingdings 2" w:char="00A3"/>
            </w:r>
            <w:r>
              <w:rPr>
                <w:rFonts w:hint="eastAsia" w:ascii="仿宋_GB2312" w:hAnsi="仿宋_GB2312" w:eastAsia="仿宋_GB2312" w:cs="Times New Roman"/>
                <w:sz w:val="20"/>
                <w:szCs w:val="20"/>
              </w:rPr>
              <w:t>其它，共计</w:t>
            </w:r>
            <w:r>
              <w:rPr>
                <w:rFonts w:hint="eastAsia" w:ascii="仿宋_GB2312" w:hAnsi="仿宋_GB2312" w:eastAsia="仿宋_GB2312" w:cs="Times New Roman"/>
                <w:sz w:val="20"/>
                <w:szCs w:val="20"/>
                <w:u w:val="single"/>
              </w:rPr>
              <w:t xml:space="preserve">              </w:t>
            </w:r>
            <w:r>
              <w:rPr>
                <w:rFonts w:hint="eastAsia" w:ascii="仿宋_GB2312" w:hAnsi="仿宋_GB2312" w:eastAsia="仿宋_GB2312" w:cs="Times New Roman"/>
                <w:sz w:val="20"/>
                <w:szCs w:val="20"/>
              </w:rPr>
              <w:t>（RMB）</w:t>
            </w:r>
          </w:p>
          <w:p>
            <w:pPr>
              <w:spacing w:line="280" w:lineRule="exact"/>
              <w:jc w:val="left"/>
              <w:rPr>
                <w:rFonts w:hint="default" w:ascii="仿宋_GB2312" w:hAnsi="仿宋_GB2312" w:eastAsia="仿宋_GB2312" w:cs="Times New Roman"/>
                <w:sz w:val="20"/>
                <w:szCs w:val="20"/>
                <w:lang w:val="en-US" w:eastAsia="zh-CN"/>
              </w:rPr>
            </w:pPr>
            <w:r>
              <w:rPr>
                <w:rFonts w:hint="eastAsia" w:ascii="仿宋_GB2312" w:hAnsi="仿宋_GB2312" w:eastAsia="仿宋_GB2312" w:cs="Times New Roman"/>
                <w:sz w:val="20"/>
                <w:szCs w:val="20"/>
                <w:lang w:val="en-US" w:eastAsia="zh-CN"/>
              </w:rPr>
              <w:t>有</w:t>
            </w:r>
            <w:r>
              <w:rPr>
                <w:rFonts w:hint="eastAsia" w:ascii="仿宋_GB2312" w:hAnsi="仿宋_GB2312" w:eastAsia="仿宋_GB2312" w:cs="Times New Roman"/>
                <w:sz w:val="20"/>
                <w:szCs w:val="20"/>
              </w:rPr>
              <w:t>关赞助商机及现场广告阵地相关事项请详询</w:t>
            </w:r>
            <w:r>
              <w:rPr>
                <w:rFonts w:hint="eastAsia" w:ascii="仿宋_GB2312" w:hAnsi="仿宋_GB2312" w:eastAsia="仿宋_GB2312" w:cs="Times New Roman"/>
                <w:sz w:val="20"/>
                <w:szCs w:val="20"/>
                <w:lang w:val="en-US" w:eastAsia="zh-CN"/>
              </w:rPr>
              <w:t>组委会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4"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其他宣传活动申请</w:t>
            </w:r>
          </w:p>
        </w:tc>
        <w:tc>
          <w:tcPr>
            <w:tcW w:w="7342" w:type="dxa"/>
            <w:gridSpan w:val="6"/>
            <w:vAlign w:val="center"/>
          </w:tcPr>
          <w:p>
            <w:pPr>
              <w:spacing w:line="280" w:lineRule="exact"/>
              <w:jc w:val="left"/>
              <w:rPr>
                <w:rFonts w:ascii="仿宋_GB2312" w:hAnsi="仿宋_GB2312" w:eastAsia="仿宋_GB2312" w:cs="Times New Roman"/>
                <w:sz w:val="20"/>
                <w:szCs w:val="20"/>
              </w:rPr>
            </w:pPr>
            <w:r>
              <w:rPr>
                <w:rFonts w:hint="eastAsia" w:ascii="仿宋_GB2312" w:hAnsi="仿宋_GB2312" w:eastAsia="仿宋_GB2312" w:cs="仿宋_GB2312"/>
                <w:sz w:val="20"/>
                <w:szCs w:val="20"/>
              </w:rPr>
              <w:t>请将宣传稿件（围绕物流创新成果及经验）图文发与组委会办公室。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trPr>
        <w:tc>
          <w:tcPr>
            <w:tcW w:w="2426" w:type="dxa"/>
            <w:gridSpan w:val="2"/>
            <w:vAlign w:val="center"/>
          </w:tcPr>
          <w:p>
            <w:pPr>
              <w:spacing w:line="280" w:lineRule="exact"/>
              <w:jc w:val="center"/>
              <w:rPr>
                <w:rFonts w:ascii="仿宋_GB2312" w:hAnsi="仿宋_GB2312" w:eastAsia="仿宋_GB2312" w:cs="Times New Roman"/>
                <w:sz w:val="20"/>
                <w:szCs w:val="20"/>
              </w:rPr>
            </w:pPr>
            <w:r>
              <w:rPr>
                <w:rFonts w:hint="eastAsia" w:ascii="仿宋_GB2312" w:hAnsi="仿宋_GB2312" w:eastAsia="仿宋_GB2312" w:cs="仿宋_GB2312"/>
                <w:sz w:val="20"/>
                <w:szCs w:val="20"/>
              </w:rPr>
              <w:t>总金额</w:t>
            </w:r>
          </w:p>
        </w:tc>
        <w:tc>
          <w:tcPr>
            <w:tcW w:w="7342" w:type="dxa"/>
            <w:gridSpan w:val="6"/>
            <w:vAlign w:val="center"/>
          </w:tcPr>
          <w:p>
            <w:pPr>
              <w:spacing w:line="280" w:lineRule="exact"/>
              <w:jc w:val="left"/>
              <w:rPr>
                <w:rFonts w:ascii="仿宋_GB2312" w:hAnsi="仿宋_GB2312"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0" w:hRule="atLeast"/>
        </w:trPr>
        <w:tc>
          <w:tcPr>
            <w:tcW w:w="9768" w:type="dxa"/>
            <w:gridSpan w:val="8"/>
            <w:vAlign w:val="center"/>
          </w:tcPr>
          <w:p>
            <w:pPr>
              <w:spacing w:line="280" w:lineRule="exact"/>
              <w:jc w:val="lef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备注：</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ascii="仿宋_GB2312" w:hAnsi="仿宋_GB2312" w:eastAsia="仿宋_GB2312" w:cs="仿宋_GB2312"/>
                <w:color w:val="000000" w:themeColor="text1"/>
                <w:sz w:val="20"/>
                <w:szCs w:val="20"/>
                <w14:textFill>
                  <w14:solidFill>
                    <w14:schemeClr w14:val="tx1"/>
                  </w14:solidFill>
                </w14:textFill>
              </w:rPr>
              <w:t>1</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请各参展单位认真阅读《参展条款》，完整填写此表格，经国际物流创新展（</w:t>
            </w:r>
            <w:r>
              <w:rPr>
                <w:rFonts w:ascii="仿宋_GB2312" w:hAnsi="仿宋_GB2312" w:eastAsia="仿宋_GB2312" w:cs="仿宋_GB2312"/>
                <w:color w:val="000000" w:themeColor="text1"/>
                <w:sz w:val="20"/>
                <w:szCs w:val="20"/>
                <w14:textFill>
                  <w14:solidFill>
                    <w14:schemeClr w14:val="tx1"/>
                  </w14:solidFill>
                </w14:textFill>
              </w:rPr>
              <w:t>2019</w:t>
            </w:r>
            <w:r>
              <w:rPr>
                <w:rFonts w:hint="eastAsia" w:ascii="仿宋_GB2312" w:hAnsi="仿宋_GB2312" w:eastAsia="仿宋_GB2312" w:cs="仿宋_GB2312"/>
                <w:color w:val="000000" w:themeColor="text1"/>
                <w:sz w:val="20"/>
                <w:szCs w:val="20"/>
                <w14:textFill>
                  <w14:solidFill>
                    <w14:schemeClr w14:val="tx1"/>
                  </w14:solidFill>
                </w14:textFill>
              </w:rPr>
              <w:t>·广州）组委会确认后，签名盖章（加盖骑缝章），将彩色扫描件及执照扫描发至指定邮箱</w:t>
            </w:r>
            <w:r>
              <w:rPr>
                <w:rFonts w:hint="eastAsia" w:ascii="仿宋_GB2312" w:hAnsi="仿宋_GB2312" w:eastAsia="仿宋_GB2312" w:cs="仿宋_GB2312"/>
                <w:color w:val="auto"/>
                <w:sz w:val="20"/>
                <w:szCs w:val="20"/>
                <w:lang w:val="en-US" w:eastAsia="zh-CN"/>
              </w:rPr>
              <w:t>gdwlxh</w:t>
            </w:r>
            <w:r>
              <w:rPr>
                <w:rFonts w:ascii="仿宋_GB2312" w:hAnsi="仿宋_GB2312" w:eastAsia="仿宋_GB2312" w:cs="仿宋_GB2312"/>
                <w:color w:val="auto"/>
                <w:sz w:val="20"/>
                <w:szCs w:val="20"/>
              </w:rPr>
              <w:t>@126.com</w:t>
            </w:r>
            <w:r>
              <w:rPr>
                <w:rFonts w:hint="eastAsia" w:ascii="仿宋_GB2312" w:hAnsi="仿宋_GB2312" w:eastAsia="仿宋_GB2312" w:cs="仿宋_GB2312"/>
                <w:color w:val="000000" w:themeColor="text1"/>
                <w:sz w:val="20"/>
                <w:szCs w:val="20"/>
                <w14:textFill>
                  <w14:solidFill>
                    <w14:schemeClr w14:val="tx1"/>
                  </w14:solidFill>
                </w14:textFill>
              </w:rPr>
              <w:t>或寄件至组委会办公室。</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ascii="仿宋_GB2312" w:hAnsi="仿宋_GB2312" w:eastAsia="仿宋_GB2312" w:cs="仿宋_GB2312"/>
                <w:color w:val="000000" w:themeColor="text1"/>
                <w:sz w:val="20"/>
                <w:szCs w:val="20"/>
                <w14:textFill>
                  <w14:solidFill>
                    <w14:schemeClr w14:val="tx1"/>
                  </w14:solidFill>
                </w14:textFill>
              </w:rPr>
              <w:t>2</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请于提交参展申请表后</w:t>
            </w:r>
            <w:r>
              <w:rPr>
                <w:rFonts w:ascii="仿宋_GB2312" w:hAnsi="仿宋_GB2312" w:eastAsia="仿宋_GB2312" w:cs="仿宋_GB2312"/>
                <w:color w:val="000000" w:themeColor="text1"/>
                <w:sz w:val="20"/>
                <w:szCs w:val="20"/>
                <w14:textFill>
                  <w14:solidFill>
                    <w14:schemeClr w14:val="tx1"/>
                  </w14:solidFill>
                </w14:textFill>
              </w:rPr>
              <w:t>5</w:t>
            </w:r>
            <w:r>
              <w:rPr>
                <w:rFonts w:hint="eastAsia" w:ascii="仿宋_GB2312" w:hAnsi="仿宋_GB2312" w:eastAsia="仿宋_GB2312" w:cs="仿宋_GB2312"/>
                <w:color w:val="000000" w:themeColor="text1"/>
                <w:sz w:val="20"/>
                <w:szCs w:val="20"/>
                <w14:textFill>
                  <w14:solidFill>
                    <w14:schemeClr w14:val="tx1"/>
                  </w14:solidFill>
                </w14:textFill>
              </w:rPr>
              <w:t>个工作日内至少支付</w:t>
            </w:r>
            <w:r>
              <w:rPr>
                <w:rFonts w:ascii="仿宋_GB2312" w:hAnsi="仿宋_GB2312" w:eastAsia="仿宋_GB2312" w:cs="仿宋_GB2312"/>
                <w:color w:val="000000" w:themeColor="text1"/>
                <w:sz w:val="20"/>
                <w:szCs w:val="20"/>
                <w14:textFill>
                  <w14:solidFill>
                    <w14:schemeClr w14:val="tx1"/>
                  </w14:solidFill>
                </w14:textFill>
              </w:rPr>
              <w:t>50%</w:t>
            </w:r>
            <w:r>
              <w:rPr>
                <w:rFonts w:hint="eastAsia" w:ascii="仿宋_GB2312" w:hAnsi="仿宋_GB2312" w:eastAsia="仿宋_GB2312" w:cs="仿宋_GB2312"/>
                <w:color w:val="000000" w:themeColor="text1"/>
                <w:sz w:val="20"/>
                <w:szCs w:val="20"/>
                <w14:textFill>
                  <w14:solidFill>
                    <w14:schemeClr w14:val="tx1"/>
                  </w14:solidFill>
                </w14:textFill>
              </w:rPr>
              <w:t>展位费，逾期未付，承办方有权收回预留展位另作安排。余款支付时间为</w:t>
            </w:r>
            <w:r>
              <w:rPr>
                <w:rFonts w:ascii="仿宋_GB2312" w:hAnsi="仿宋_GB2312" w:eastAsia="仿宋_GB2312" w:cs="仿宋_GB2312"/>
                <w:color w:val="000000" w:themeColor="text1"/>
                <w:sz w:val="20"/>
                <w:szCs w:val="20"/>
                <w14:textFill>
                  <w14:solidFill>
                    <w14:schemeClr w14:val="tx1"/>
                  </w14:solidFill>
                </w14:textFill>
              </w:rPr>
              <w:t>2019</w:t>
            </w:r>
            <w:r>
              <w:rPr>
                <w:rFonts w:hint="eastAsia" w:ascii="仿宋_GB2312" w:hAnsi="仿宋_GB2312" w:eastAsia="仿宋_GB2312" w:cs="仿宋_GB2312"/>
                <w:color w:val="000000" w:themeColor="text1"/>
                <w:sz w:val="20"/>
                <w:szCs w:val="20"/>
                <w14:textFill>
                  <w14:solidFill>
                    <w14:schemeClr w14:val="tx1"/>
                  </w14:solidFill>
                </w14:textFill>
              </w:rPr>
              <w:t>年</w:t>
            </w:r>
            <w:r>
              <w:rPr>
                <w:rFonts w:ascii="仿宋_GB2312" w:hAnsi="仿宋_GB2312" w:eastAsia="仿宋_GB2312" w:cs="仿宋_GB2312"/>
                <w:color w:val="000000" w:themeColor="text1"/>
                <w:sz w:val="20"/>
                <w:szCs w:val="20"/>
                <w14:textFill>
                  <w14:solidFill>
                    <w14:schemeClr w14:val="tx1"/>
                  </w14:solidFill>
                </w14:textFill>
              </w:rPr>
              <w:t>6</w:t>
            </w:r>
            <w:r>
              <w:rPr>
                <w:rFonts w:hint="eastAsia" w:ascii="仿宋_GB2312" w:hAnsi="仿宋_GB2312" w:eastAsia="仿宋_GB2312" w:cs="仿宋_GB2312"/>
                <w:color w:val="000000" w:themeColor="text1"/>
                <w:sz w:val="20"/>
                <w:szCs w:val="20"/>
                <w14:textFill>
                  <w14:solidFill>
                    <w14:schemeClr w14:val="tx1"/>
                  </w14:solidFill>
                </w14:textFill>
              </w:rPr>
              <w:t>月</w:t>
            </w:r>
            <w:r>
              <w:rPr>
                <w:rFonts w:ascii="仿宋_GB2312" w:hAnsi="仿宋_GB2312" w:eastAsia="仿宋_GB2312" w:cs="仿宋_GB2312"/>
                <w:color w:val="000000" w:themeColor="text1"/>
                <w:sz w:val="20"/>
                <w:szCs w:val="20"/>
                <w14:textFill>
                  <w14:solidFill>
                    <w14:schemeClr w14:val="tx1"/>
                  </w14:solidFill>
                </w14:textFill>
              </w:rPr>
              <w:t>18</w:t>
            </w:r>
            <w:r>
              <w:rPr>
                <w:rFonts w:hint="eastAsia" w:ascii="仿宋_GB2312" w:hAnsi="仿宋_GB2312" w:eastAsia="仿宋_GB2312" w:cs="仿宋_GB2312"/>
                <w:color w:val="000000" w:themeColor="text1"/>
                <w:sz w:val="20"/>
                <w:szCs w:val="20"/>
                <w14:textFill>
                  <w14:solidFill>
                    <w14:schemeClr w14:val="tx1"/>
                  </w14:solidFill>
                </w14:textFill>
              </w:rPr>
              <w:t>日前，若参展单位未按时支付余款或单方面取消参展计划，</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主办方</w:t>
            </w:r>
            <w:r>
              <w:rPr>
                <w:rFonts w:hint="eastAsia" w:ascii="仿宋_GB2312" w:hAnsi="仿宋_GB2312" w:eastAsia="仿宋_GB2312" w:cs="仿宋_GB2312"/>
                <w:color w:val="000000" w:themeColor="text1"/>
                <w:sz w:val="20"/>
                <w:szCs w:val="20"/>
                <w14:textFill>
                  <w14:solidFill>
                    <w14:schemeClr w14:val="tx1"/>
                  </w14:solidFill>
                </w14:textFill>
              </w:rPr>
              <w:t>有权解除合同并收回展位另做安排，且前期的展位费不予退还。</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ascii="仿宋_GB2312" w:hAnsi="仿宋_GB2312" w:eastAsia="仿宋_GB2312" w:cs="仿宋_GB2312"/>
                <w:color w:val="000000" w:themeColor="text1"/>
                <w:sz w:val="20"/>
                <w:szCs w:val="20"/>
                <w14:textFill>
                  <w14:solidFill>
                    <w14:schemeClr w14:val="tx1"/>
                  </w14:solidFill>
                </w14:textFill>
              </w:rPr>
              <w:t>3</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展位配置</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升级标摊：围板、中英文楣板、一张咨询台、两折凳、</w:t>
            </w:r>
            <w:r>
              <w:rPr>
                <w:rFonts w:ascii="仿宋_GB2312" w:hAnsi="仿宋_GB2312" w:eastAsia="仿宋_GB2312" w:cs="仿宋_GB2312"/>
                <w:color w:val="000000" w:themeColor="text1"/>
                <w:sz w:val="20"/>
                <w:szCs w:val="20"/>
                <w14:textFill>
                  <w14:solidFill>
                    <w14:schemeClr w14:val="tx1"/>
                  </w14:solidFill>
                </w14:textFill>
              </w:rPr>
              <w:t>100W</w:t>
            </w:r>
            <w:r>
              <w:rPr>
                <w:rFonts w:hint="eastAsia" w:ascii="仿宋_GB2312" w:hAnsi="仿宋_GB2312" w:eastAsia="仿宋_GB2312" w:cs="仿宋_GB2312"/>
                <w:color w:val="000000" w:themeColor="text1"/>
                <w:sz w:val="20"/>
                <w:szCs w:val="20"/>
                <w14:textFill>
                  <w14:solidFill>
                    <w14:schemeClr w14:val="tx1"/>
                  </w14:solidFill>
                </w14:textFill>
              </w:rPr>
              <w:t>射灯</w:t>
            </w:r>
            <w:r>
              <w:rPr>
                <w:rFonts w:ascii="仿宋_GB2312" w:hAnsi="仿宋_GB2312" w:eastAsia="仿宋_GB2312" w:cs="仿宋_GB2312"/>
                <w:color w:val="000000" w:themeColor="text1"/>
                <w:sz w:val="20"/>
                <w:szCs w:val="20"/>
                <w14:textFill>
                  <w14:solidFill>
                    <w14:schemeClr w14:val="tx1"/>
                  </w14:solidFill>
                </w14:textFill>
              </w:rPr>
              <w:t>2</w:t>
            </w:r>
            <w:r>
              <w:rPr>
                <w:rFonts w:hint="eastAsia" w:ascii="仿宋_GB2312" w:hAnsi="仿宋_GB2312" w:eastAsia="仿宋_GB2312" w:cs="仿宋_GB2312"/>
                <w:color w:val="000000" w:themeColor="text1"/>
                <w:sz w:val="20"/>
                <w:szCs w:val="20"/>
                <w14:textFill>
                  <w14:solidFill>
                    <w14:schemeClr w14:val="tx1"/>
                  </w14:solidFill>
                </w14:textFill>
              </w:rPr>
              <w:t>盏、</w:t>
            </w:r>
            <w:r>
              <w:rPr>
                <w:rFonts w:ascii="仿宋_GB2312" w:hAnsi="仿宋_GB2312" w:eastAsia="仿宋_GB2312" w:cs="仿宋_GB2312"/>
                <w:color w:val="000000" w:themeColor="text1"/>
                <w:sz w:val="20"/>
                <w:szCs w:val="20"/>
                <w14:textFill>
                  <w14:solidFill>
                    <w14:schemeClr w14:val="tx1"/>
                  </w14:solidFill>
                </w14:textFill>
              </w:rPr>
              <w:t>500V</w:t>
            </w:r>
            <w:r>
              <w:rPr>
                <w:rFonts w:hint="eastAsia" w:ascii="仿宋_GB2312" w:hAnsi="仿宋_GB2312" w:eastAsia="仿宋_GB2312" w:cs="仿宋_GB2312"/>
                <w:color w:val="000000" w:themeColor="text1"/>
                <w:sz w:val="20"/>
                <w:szCs w:val="20"/>
                <w14:textFill>
                  <w14:solidFill>
                    <w14:schemeClr w14:val="tx1"/>
                  </w14:solidFill>
                </w14:textFill>
              </w:rPr>
              <w:t>电源插座一个、废纸篓一个、地毯、加高楣板及加高两侧小楣板。</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光地展位：主办单位提供空场地，参展商需自行承担展台搭建、装饰、展馆管理等相关费用。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3" w:hRule="atLeast"/>
        </w:trPr>
        <w:tc>
          <w:tcPr>
            <w:tcW w:w="4848" w:type="dxa"/>
            <w:gridSpan w:val="5"/>
          </w:tcPr>
          <w:p>
            <w:pPr>
              <w:spacing w:line="280" w:lineRule="exact"/>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组委会指定收款账户（甲方）：</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广州粤物协工程设计有限公司</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开户银行：中信银行广州北秀支行</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ascii="仿宋_GB2312" w:hAnsi="仿宋_GB2312" w:eastAsia="仿宋_GB2312" w:cs="仿宋_GB2312"/>
                <w:color w:val="000000" w:themeColor="text1"/>
                <w:sz w:val="20"/>
                <w:szCs w:val="20"/>
                <w14:textFill>
                  <w14:solidFill>
                    <w14:schemeClr w14:val="tx1"/>
                  </w14:solidFill>
                </w14:textFill>
              </w:rPr>
              <w:t xml:space="preserve">  </w:t>
            </w:r>
            <w:r>
              <w:rPr>
                <w:rFonts w:hint="eastAsia" w:ascii="仿宋_GB2312" w:hAnsi="仿宋_GB2312" w:eastAsia="仿宋_GB2312" w:cs="仿宋_GB2312"/>
                <w:color w:val="000000" w:themeColor="text1"/>
                <w:sz w:val="20"/>
                <w:szCs w:val="20"/>
                <w14:textFill>
                  <w14:solidFill>
                    <w14:schemeClr w14:val="tx1"/>
                  </w14:solidFill>
                </w14:textFill>
              </w:rPr>
              <w:t>账  号：8110901013200415454</w:t>
            </w:r>
            <w:bookmarkStart w:id="4" w:name="_GoBack"/>
            <w:bookmarkEnd w:id="4"/>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代表签名：</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公章：</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日期：</w:t>
            </w:r>
          </w:p>
        </w:tc>
        <w:tc>
          <w:tcPr>
            <w:tcW w:w="4920" w:type="dxa"/>
            <w:gridSpan w:val="3"/>
          </w:tcPr>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参展单位（乙方）：</w:t>
            </w:r>
          </w:p>
          <w:p>
            <w:pPr>
              <w:spacing w:line="280" w:lineRule="exact"/>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开户银行：</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账   号：</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代表签名：</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公章：</w:t>
            </w:r>
          </w:p>
          <w:p>
            <w:pPr>
              <w:spacing w:line="280" w:lineRule="exact"/>
              <w:rPr>
                <w:rFonts w:ascii="仿宋_GB2312" w:hAnsi="仿宋_GB2312" w:eastAsia="仿宋_GB2312" w:cs="Times New Roman"/>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日期：</w:t>
            </w:r>
          </w:p>
        </w:tc>
      </w:tr>
    </w:tbl>
    <w:p>
      <w:pPr>
        <w:tabs>
          <w:tab w:val="left" w:pos="1380"/>
          <w:tab w:val="left" w:pos="8640"/>
        </w:tabs>
        <w:spacing w:line="80" w:lineRule="exact"/>
        <w:ind w:firstLine="3360" w:firstLineChars="1400"/>
        <w:jc w:val="left"/>
        <w:rPr>
          <w:rFonts w:ascii="仿宋_GB2312" w:hAnsi="仿宋_GB2312" w:eastAsia="仿宋_GB2312" w:cs="Times New Roman"/>
          <w:color w:val="000000"/>
          <w:sz w:val="24"/>
          <w:szCs w:val="24"/>
        </w:rPr>
      </w:pPr>
    </w:p>
    <w:p>
      <w:pPr>
        <w:spacing w:line="600" w:lineRule="exact"/>
        <w:jc w:val="center"/>
        <w:rPr>
          <w:rFonts w:ascii="宋体" w:cs="Times New Roman"/>
          <w:b/>
          <w:bCs/>
          <w:sz w:val="32"/>
          <w:szCs w:val="32"/>
        </w:rPr>
      </w:pPr>
      <w:r>
        <w:rPr>
          <w:rFonts w:hint="eastAsia" w:ascii="宋体" w:hAnsi="宋体" w:cs="宋体"/>
          <w:b/>
          <w:bCs/>
          <w:sz w:val="32"/>
          <w:szCs w:val="32"/>
        </w:rPr>
        <w:t>参展条款</w:t>
      </w:r>
    </w:p>
    <w:p>
      <w:pPr>
        <w:rPr>
          <w:rFonts w:cs="Times New Roman"/>
        </w:rPr>
      </w:pPr>
    </w:p>
    <w:p>
      <w:pPr>
        <w:rPr>
          <w:rFonts w:cs="Times New Roman"/>
          <w:sz w:val="20"/>
          <w:szCs w:val="20"/>
        </w:rPr>
      </w:pPr>
      <w:r>
        <w:rPr>
          <w:sz w:val="20"/>
          <w:szCs w:val="20"/>
        </w:rPr>
        <w:t>1</w:t>
      </w:r>
      <w:r>
        <w:rPr>
          <w:rFonts w:hint="eastAsia" w:cs="宋体"/>
          <w:sz w:val="20"/>
          <w:szCs w:val="20"/>
          <w:lang w:eastAsia="zh-CN"/>
        </w:rPr>
        <w:t>.</w:t>
      </w:r>
      <w:r>
        <w:rPr>
          <w:rFonts w:hint="eastAsia" w:cs="宋体"/>
          <w:sz w:val="20"/>
          <w:szCs w:val="20"/>
        </w:rPr>
        <w:t>乙方在提交《创新展申请表（代合同）》前必须认真阅读以下所有条款，提交申请表后，甲方视乙方已接受参展条款并愿意严格遵守。</w:t>
      </w:r>
    </w:p>
    <w:p>
      <w:pPr>
        <w:rPr>
          <w:rFonts w:cs="Times New Roman"/>
          <w:sz w:val="20"/>
          <w:szCs w:val="20"/>
        </w:rPr>
      </w:pPr>
      <w:r>
        <w:rPr>
          <w:sz w:val="20"/>
          <w:szCs w:val="20"/>
        </w:rPr>
        <w:t>2</w:t>
      </w:r>
      <w:r>
        <w:rPr>
          <w:rFonts w:hint="eastAsia" w:cs="宋体"/>
          <w:sz w:val="20"/>
          <w:szCs w:val="20"/>
          <w:lang w:eastAsia="zh-CN"/>
        </w:rPr>
        <w:t>.</w:t>
      </w:r>
      <w:r>
        <w:rPr>
          <w:rFonts w:hint="eastAsia" w:cs="宋体"/>
          <w:sz w:val="20"/>
          <w:szCs w:val="20"/>
        </w:rPr>
        <w:t>展位分配。</w:t>
      </w:r>
    </w:p>
    <w:p>
      <w:pPr>
        <w:rPr>
          <w:rFonts w:cs="Times New Roman"/>
          <w:sz w:val="20"/>
          <w:szCs w:val="20"/>
        </w:rPr>
      </w:pPr>
      <w:r>
        <w:rPr>
          <w:rFonts w:hint="eastAsia" w:cs="宋体"/>
          <w:sz w:val="20"/>
          <w:szCs w:val="20"/>
        </w:rPr>
        <w:t>（</w:t>
      </w:r>
      <w:r>
        <w:rPr>
          <w:sz w:val="20"/>
          <w:szCs w:val="20"/>
        </w:rPr>
        <w:t>1</w:t>
      </w:r>
      <w:r>
        <w:rPr>
          <w:rFonts w:hint="eastAsia" w:cs="宋体"/>
          <w:sz w:val="20"/>
          <w:szCs w:val="20"/>
        </w:rPr>
        <w:t>）甲方负责所有展位合理分配，根据乙方的展品类型划分展区，安排展位。</w:t>
      </w:r>
    </w:p>
    <w:p>
      <w:pPr>
        <w:rPr>
          <w:rFonts w:cs="Times New Roman"/>
          <w:sz w:val="20"/>
          <w:szCs w:val="20"/>
        </w:rPr>
      </w:pPr>
      <w:r>
        <w:rPr>
          <w:rFonts w:hint="eastAsia" w:cs="宋体"/>
          <w:sz w:val="20"/>
          <w:szCs w:val="20"/>
        </w:rPr>
        <w:t>为保证展会的整体形象与效果，乙方有义务服从甲方最终的展位调整与现场安排。</w:t>
      </w:r>
    </w:p>
    <w:p>
      <w:pPr>
        <w:rPr>
          <w:rFonts w:cs="Times New Roman"/>
          <w:sz w:val="20"/>
          <w:szCs w:val="20"/>
        </w:rPr>
      </w:pPr>
      <w:r>
        <w:rPr>
          <w:rFonts w:hint="eastAsia" w:cs="宋体"/>
          <w:sz w:val="20"/>
          <w:szCs w:val="20"/>
        </w:rPr>
        <w:t>乙方如需要变更展位或展位信息，需至少提前</w:t>
      </w:r>
      <w:r>
        <w:rPr>
          <w:sz w:val="20"/>
          <w:szCs w:val="20"/>
        </w:rPr>
        <w:t>30</w:t>
      </w:r>
      <w:r>
        <w:rPr>
          <w:rFonts w:hint="eastAsia" w:cs="宋体"/>
          <w:sz w:val="20"/>
          <w:szCs w:val="20"/>
        </w:rPr>
        <w:t>天（即</w:t>
      </w:r>
      <w:r>
        <w:rPr>
          <w:sz w:val="20"/>
          <w:szCs w:val="20"/>
        </w:rPr>
        <w:t>2019</w:t>
      </w:r>
      <w:r>
        <w:rPr>
          <w:rFonts w:hint="eastAsia" w:cs="宋体"/>
          <w:sz w:val="20"/>
          <w:szCs w:val="20"/>
        </w:rPr>
        <w:t>年</w:t>
      </w:r>
      <w:r>
        <w:rPr>
          <w:sz w:val="20"/>
          <w:szCs w:val="20"/>
        </w:rPr>
        <w:t>5</w:t>
      </w:r>
      <w:r>
        <w:rPr>
          <w:rFonts w:hint="eastAsia" w:cs="宋体"/>
          <w:sz w:val="20"/>
          <w:szCs w:val="20"/>
        </w:rPr>
        <w:t>月</w:t>
      </w:r>
      <w:r>
        <w:rPr>
          <w:rFonts w:hint="eastAsia"/>
          <w:sz w:val="20"/>
          <w:szCs w:val="20"/>
        </w:rPr>
        <w:t>18</w:t>
      </w:r>
      <w:r>
        <w:rPr>
          <w:rFonts w:hint="eastAsia" w:cs="宋体"/>
          <w:sz w:val="20"/>
          <w:szCs w:val="20"/>
        </w:rPr>
        <w:t>日前）向甲方提出书面申请。</w:t>
      </w:r>
    </w:p>
    <w:p>
      <w:pPr>
        <w:rPr>
          <w:rFonts w:cs="Times New Roman"/>
          <w:sz w:val="20"/>
          <w:szCs w:val="20"/>
        </w:rPr>
      </w:pPr>
      <w:r>
        <w:rPr>
          <w:rFonts w:hint="eastAsia" w:cs="宋体"/>
          <w:sz w:val="20"/>
          <w:szCs w:val="20"/>
        </w:rPr>
        <w:t>如擅自更改展位及展位信息，所导致的一切损失和责任由乙方自行承担。</w:t>
      </w:r>
    </w:p>
    <w:p>
      <w:pPr>
        <w:rPr>
          <w:rFonts w:cs="Times New Roman"/>
          <w:sz w:val="20"/>
          <w:szCs w:val="20"/>
        </w:rPr>
      </w:pPr>
      <w:r>
        <w:rPr>
          <w:rFonts w:hint="eastAsia" w:cs="宋体"/>
          <w:sz w:val="20"/>
          <w:szCs w:val="20"/>
        </w:rPr>
        <w:t>（</w:t>
      </w:r>
      <w:r>
        <w:rPr>
          <w:sz w:val="20"/>
          <w:szCs w:val="20"/>
        </w:rPr>
        <w:t>2</w:t>
      </w:r>
      <w:r>
        <w:rPr>
          <w:rFonts w:hint="eastAsia" w:cs="宋体"/>
          <w:sz w:val="20"/>
          <w:szCs w:val="20"/>
        </w:rPr>
        <w:t>）如遇特殊情况，甲方有权重新分配展位、改变展位面积、移动或关闭展馆或展厅进出口及进行其他必要改动。</w:t>
      </w:r>
    </w:p>
    <w:p>
      <w:pPr>
        <w:rPr>
          <w:rFonts w:cs="Times New Roman"/>
          <w:sz w:val="20"/>
          <w:szCs w:val="20"/>
        </w:rPr>
      </w:pPr>
      <w:r>
        <w:rPr>
          <w:rFonts w:hint="eastAsia" w:cs="宋体"/>
          <w:sz w:val="20"/>
          <w:szCs w:val="20"/>
        </w:rPr>
        <w:t>（</w:t>
      </w:r>
      <w:r>
        <w:rPr>
          <w:sz w:val="20"/>
          <w:szCs w:val="20"/>
        </w:rPr>
        <w:t>3</w:t>
      </w:r>
      <w:r>
        <w:rPr>
          <w:rFonts w:hint="eastAsia" w:cs="宋体"/>
          <w:sz w:val="20"/>
          <w:szCs w:val="20"/>
        </w:rPr>
        <w:t>）上述情况下，若更改被证明无端损害乙方利益，乙方有权在收到更改通知后</w:t>
      </w:r>
      <w:r>
        <w:rPr>
          <w:sz w:val="20"/>
          <w:szCs w:val="20"/>
        </w:rPr>
        <w:t>5</w:t>
      </w:r>
      <w:r>
        <w:rPr>
          <w:rFonts w:hint="eastAsia" w:cs="宋体"/>
          <w:sz w:val="20"/>
          <w:szCs w:val="20"/>
        </w:rPr>
        <w:t>个工作日内，通过书面形式向甲方提出调整分配或取消参展。</w:t>
      </w:r>
    </w:p>
    <w:p>
      <w:pPr>
        <w:rPr>
          <w:rFonts w:cs="Times New Roman"/>
          <w:sz w:val="20"/>
          <w:szCs w:val="20"/>
        </w:rPr>
      </w:pPr>
      <w:r>
        <w:rPr>
          <w:sz w:val="20"/>
          <w:szCs w:val="20"/>
        </w:rPr>
        <w:t>3</w:t>
      </w:r>
      <w:r>
        <w:rPr>
          <w:rFonts w:hint="eastAsia" w:cs="宋体"/>
          <w:sz w:val="20"/>
          <w:szCs w:val="20"/>
          <w:lang w:eastAsia="zh-CN"/>
        </w:rPr>
        <w:t>.</w:t>
      </w:r>
      <w:r>
        <w:rPr>
          <w:rFonts w:hint="eastAsia" w:cs="宋体"/>
          <w:sz w:val="20"/>
          <w:szCs w:val="20"/>
        </w:rPr>
        <w:t>展位搭建。</w:t>
      </w:r>
    </w:p>
    <w:p>
      <w:pPr>
        <w:rPr>
          <w:rFonts w:cs="Times New Roman"/>
          <w:sz w:val="20"/>
          <w:szCs w:val="20"/>
        </w:rPr>
      </w:pPr>
      <w:r>
        <w:rPr>
          <w:rFonts w:hint="eastAsia" w:cs="宋体"/>
          <w:sz w:val="20"/>
          <w:szCs w:val="20"/>
        </w:rPr>
        <w:t>（</w:t>
      </w:r>
      <w:r>
        <w:rPr>
          <w:sz w:val="20"/>
          <w:szCs w:val="20"/>
        </w:rPr>
        <w:t>1</w:t>
      </w:r>
      <w:r>
        <w:rPr>
          <w:rFonts w:hint="eastAsia" w:cs="宋体"/>
          <w:sz w:val="20"/>
          <w:szCs w:val="20"/>
        </w:rPr>
        <w:t>）甲方负责标准展位的整体搭建。乙方自行安排光地展位的搭建，负责该展位的设计、搭建和安全，乙方有义务确保所进行一切工作须符合展览会《特装管理规定》，及</w:t>
      </w:r>
      <w:r>
        <w:rPr>
          <w:rFonts w:hint="eastAsia" w:cs="宋体"/>
          <w:sz w:val="20"/>
          <w:szCs w:val="20"/>
          <w:lang w:val="en-US" w:eastAsia="zh-CN"/>
        </w:rPr>
        <w:t>广州白云国际会议中心展览的</w:t>
      </w:r>
      <w:r>
        <w:rPr>
          <w:rFonts w:hint="eastAsia" w:cs="宋体"/>
          <w:sz w:val="20"/>
          <w:szCs w:val="20"/>
        </w:rPr>
        <w:t>技术规定。</w:t>
      </w:r>
    </w:p>
    <w:p>
      <w:pPr>
        <w:rPr>
          <w:rFonts w:cs="Times New Roman"/>
          <w:sz w:val="20"/>
          <w:szCs w:val="20"/>
        </w:rPr>
      </w:pPr>
      <w:r>
        <w:rPr>
          <w:rFonts w:hint="eastAsia" w:cs="宋体"/>
          <w:sz w:val="20"/>
          <w:szCs w:val="20"/>
        </w:rPr>
        <w:t>（</w:t>
      </w:r>
      <w:r>
        <w:rPr>
          <w:sz w:val="20"/>
          <w:szCs w:val="20"/>
        </w:rPr>
        <w:t>2</w:t>
      </w:r>
      <w:r>
        <w:rPr>
          <w:rFonts w:hint="eastAsia" w:cs="宋体"/>
          <w:sz w:val="20"/>
          <w:szCs w:val="20"/>
        </w:rPr>
        <w:t>）对不符合整体形象及存在安全隐患的装修搭建，甲方有权要求乙方进行整改，乙方应在开展前</w:t>
      </w:r>
      <w:r>
        <w:rPr>
          <w:sz w:val="20"/>
          <w:szCs w:val="20"/>
        </w:rPr>
        <w:t>1</w:t>
      </w:r>
      <w:r>
        <w:rPr>
          <w:rFonts w:hint="eastAsia" w:cs="宋体"/>
          <w:sz w:val="20"/>
          <w:szCs w:val="20"/>
        </w:rPr>
        <w:t>天（</w:t>
      </w:r>
      <w:r>
        <w:rPr>
          <w:sz w:val="20"/>
          <w:szCs w:val="20"/>
        </w:rPr>
        <w:t>2019</w:t>
      </w:r>
      <w:r>
        <w:rPr>
          <w:rFonts w:hint="eastAsia" w:cs="宋体"/>
          <w:sz w:val="20"/>
          <w:szCs w:val="20"/>
        </w:rPr>
        <w:t>年</w:t>
      </w:r>
      <w:r>
        <w:rPr>
          <w:sz w:val="20"/>
          <w:szCs w:val="20"/>
        </w:rPr>
        <w:t>6</w:t>
      </w:r>
      <w:r>
        <w:rPr>
          <w:rFonts w:hint="eastAsia" w:cs="宋体"/>
          <w:sz w:val="20"/>
          <w:szCs w:val="20"/>
        </w:rPr>
        <w:t>月</w:t>
      </w:r>
      <w:r>
        <w:rPr>
          <w:sz w:val="20"/>
          <w:szCs w:val="20"/>
        </w:rPr>
        <w:t>19</w:t>
      </w:r>
      <w:r>
        <w:rPr>
          <w:rFonts w:hint="eastAsia" w:cs="宋体"/>
          <w:sz w:val="20"/>
          <w:szCs w:val="20"/>
        </w:rPr>
        <w:t>日前）整改完毕，如乙方未按要求整改或不提出充分理由回复甲方，甲方可取消乙方参展资格，不退还所有参展费，并对展位另行安排。</w:t>
      </w:r>
    </w:p>
    <w:p>
      <w:pPr>
        <w:rPr>
          <w:rFonts w:cs="Times New Roman"/>
          <w:sz w:val="20"/>
          <w:szCs w:val="20"/>
        </w:rPr>
      </w:pPr>
      <w:r>
        <w:rPr>
          <w:sz w:val="20"/>
          <w:szCs w:val="20"/>
        </w:rPr>
        <w:t>4</w:t>
      </w:r>
      <w:r>
        <w:rPr>
          <w:rFonts w:hint="eastAsia" w:cs="宋体"/>
          <w:sz w:val="20"/>
          <w:szCs w:val="20"/>
          <w:lang w:eastAsia="zh-CN"/>
        </w:rPr>
        <w:t>.</w:t>
      </w:r>
      <w:r>
        <w:rPr>
          <w:rFonts w:hint="eastAsia" w:cs="宋体"/>
          <w:sz w:val="20"/>
          <w:szCs w:val="20"/>
        </w:rPr>
        <w:t>展品展示。</w:t>
      </w:r>
    </w:p>
    <w:p>
      <w:pPr>
        <w:rPr>
          <w:rFonts w:cs="Times New Roman"/>
          <w:sz w:val="20"/>
          <w:szCs w:val="20"/>
        </w:rPr>
      </w:pPr>
      <w:r>
        <w:rPr>
          <w:rFonts w:hint="eastAsia" w:cs="宋体"/>
          <w:sz w:val="20"/>
          <w:szCs w:val="20"/>
        </w:rPr>
        <w:t>乙方的展品必须摆放在展位的规定范围内，甲方对违反者有权警告或清理超出位置商品。乙方只允许在自己展位上进行洽谈与接待活动。展位在展会开放时间内必须有工作人员在场并摆放展品。</w:t>
      </w:r>
    </w:p>
    <w:p>
      <w:pPr>
        <w:rPr>
          <w:rFonts w:cs="Times New Roman"/>
          <w:sz w:val="20"/>
          <w:szCs w:val="20"/>
        </w:rPr>
      </w:pPr>
      <w:r>
        <w:rPr>
          <w:sz w:val="20"/>
          <w:szCs w:val="20"/>
        </w:rPr>
        <w:t>5</w:t>
      </w:r>
      <w:r>
        <w:rPr>
          <w:rFonts w:hint="eastAsia" w:cs="宋体"/>
          <w:sz w:val="20"/>
          <w:szCs w:val="20"/>
          <w:lang w:eastAsia="zh-CN"/>
        </w:rPr>
        <w:t>.</w:t>
      </w:r>
      <w:r>
        <w:rPr>
          <w:rFonts w:hint="eastAsia" w:cs="宋体"/>
          <w:sz w:val="20"/>
          <w:szCs w:val="20"/>
        </w:rPr>
        <w:t>支付条款。</w:t>
      </w:r>
    </w:p>
    <w:p>
      <w:pPr>
        <w:rPr>
          <w:rFonts w:cs="Times New Roman"/>
          <w:sz w:val="20"/>
          <w:szCs w:val="20"/>
        </w:rPr>
      </w:pPr>
      <w:r>
        <w:rPr>
          <w:rFonts w:hint="eastAsia" w:cs="宋体"/>
          <w:sz w:val="20"/>
          <w:szCs w:val="20"/>
        </w:rPr>
        <w:t>（</w:t>
      </w:r>
      <w:r>
        <w:rPr>
          <w:sz w:val="20"/>
          <w:szCs w:val="20"/>
        </w:rPr>
        <w:t>1</w:t>
      </w:r>
      <w:r>
        <w:rPr>
          <w:rFonts w:hint="eastAsia" w:cs="宋体"/>
          <w:sz w:val="20"/>
          <w:szCs w:val="20"/>
        </w:rPr>
        <w:t>）乙方在指定日期支付所有参展款项，是获得和使用展位、取得进馆证、录入展览会会刊的先决条件。</w:t>
      </w:r>
    </w:p>
    <w:p>
      <w:pPr>
        <w:rPr>
          <w:rFonts w:cs="Times New Roman"/>
          <w:sz w:val="20"/>
          <w:szCs w:val="20"/>
        </w:rPr>
      </w:pPr>
      <w:r>
        <w:rPr>
          <w:rFonts w:hint="eastAsia" w:cs="宋体"/>
          <w:sz w:val="20"/>
          <w:szCs w:val="20"/>
        </w:rPr>
        <w:t>（</w:t>
      </w:r>
      <w:r>
        <w:rPr>
          <w:sz w:val="20"/>
          <w:szCs w:val="20"/>
        </w:rPr>
        <w:t>2</w:t>
      </w:r>
      <w:r>
        <w:rPr>
          <w:rFonts w:hint="eastAsia" w:cs="宋体"/>
          <w:sz w:val="20"/>
          <w:szCs w:val="20"/>
        </w:rPr>
        <w:t>）乙方全部款项必须汇入甲方指定账号。</w:t>
      </w:r>
    </w:p>
    <w:p>
      <w:pPr>
        <w:rPr>
          <w:rFonts w:cs="Times New Roman"/>
          <w:sz w:val="20"/>
          <w:szCs w:val="20"/>
        </w:rPr>
      </w:pPr>
      <w:r>
        <w:rPr>
          <w:sz w:val="20"/>
          <w:szCs w:val="20"/>
        </w:rPr>
        <w:t>6</w:t>
      </w:r>
      <w:r>
        <w:rPr>
          <w:rFonts w:hint="eastAsia" w:cs="宋体"/>
          <w:sz w:val="20"/>
          <w:szCs w:val="20"/>
          <w:lang w:eastAsia="zh-CN"/>
        </w:rPr>
        <w:t>.</w:t>
      </w:r>
      <w:r>
        <w:rPr>
          <w:rFonts w:hint="eastAsia" w:cs="宋体"/>
          <w:sz w:val="20"/>
          <w:szCs w:val="20"/>
        </w:rPr>
        <w:t>知识产权。</w:t>
      </w:r>
    </w:p>
    <w:p>
      <w:pPr>
        <w:rPr>
          <w:rFonts w:cs="Times New Roman"/>
          <w:sz w:val="20"/>
          <w:szCs w:val="20"/>
        </w:rPr>
      </w:pPr>
      <w:r>
        <w:rPr>
          <w:rFonts w:hint="eastAsia" w:cs="宋体"/>
          <w:sz w:val="20"/>
          <w:szCs w:val="20"/>
        </w:rPr>
        <w:t>乙方必须遵守大会根据国家有关规定制定的《知识产权保护行为的投诉及处理方法》，不得扰乱正常展览秩序，不得展出任何侵犯他人知识产权的展品，参展产品如经甲方认为涉嫌侵权，且乙方不能做出未侵权的有效举证的，甲方将立即采取遮盖、撤展等处理措施。如参展产品已由人民法院做出侵权判决或者由负责知识产权行政管理的部门做出侵权处理决定，并已发生法律效力的，乙方拒绝采取遮盖、撤展等处理措施时，甲方可以收回乙方的参展证件或者取消参展资格，因此而造成的任何后果由乙方自行承担。</w:t>
      </w:r>
    </w:p>
    <w:p>
      <w:pPr>
        <w:rPr>
          <w:rFonts w:cs="Times New Roman"/>
          <w:sz w:val="20"/>
          <w:szCs w:val="20"/>
        </w:rPr>
      </w:pPr>
      <w:r>
        <w:rPr>
          <w:sz w:val="20"/>
          <w:szCs w:val="20"/>
        </w:rPr>
        <w:t>7</w:t>
      </w:r>
      <w:r>
        <w:rPr>
          <w:rFonts w:hint="eastAsia" w:cs="宋体"/>
          <w:sz w:val="20"/>
          <w:szCs w:val="20"/>
          <w:lang w:eastAsia="zh-CN"/>
        </w:rPr>
        <w:t>.</w:t>
      </w:r>
      <w:r>
        <w:rPr>
          <w:rFonts w:hint="eastAsia" w:cs="宋体"/>
          <w:sz w:val="20"/>
          <w:szCs w:val="20"/>
        </w:rPr>
        <w:t>免责条款。</w:t>
      </w:r>
    </w:p>
    <w:p>
      <w:pPr>
        <w:rPr>
          <w:rFonts w:cs="Times New Roman"/>
          <w:sz w:val="20"/>
          <w:szCs w:val="20"/>
        </w:rPr>
      </w:pPr>
      <w:r>
        <w:rPr>
          <w:rFonts w:hint="eastAsia" w:cs="宋体"/>
          <w:sz w:val="20"/>
          <w:szCs w:val="20"/>
        </w:rPr>
        <w:t>（</w:t>
      </w:r>
      <w:r>
        <w:rPr>
          <w:sz w:val="20"/>
          <w:szCs w:val="20"/>
        </w:rPr>
        <w:t>1</w:t>
      </w:r>
      <w:r>
        <w:rPr>
          <w:rFonts w:hint="eastAsia" w:cs="宋体"/>
          <w:sz w:val="20"/>
          <w:szCs w:val="20"/>
        </w:rPr>
        <w:t>）甲方对乙方自身员工和展商其他代表所引起的参展产品和展位装置的损坏不负任何责任。</w:t>
      </w:r>
    </w:p>
    <w:p>
      <w:pPr>
        <w:rPr>
          <w:rFonts w:cs="Times New Roman"/>
          <w:sz w:val="20"/>
          <w:szCs w:val="20"/>
        </w:rPr>
      </w:pPr>
      <w:r>
        <w:rPr>
          <w:rFonts w:hint="eastAsia" w:cs="宋体"/>
          <w:sz w:val="20"/>
          <w:szCs w:val="20"/>
        </w:rPr>
        <w:t>（</w:t>
      </w:r>
      <w:r>
        <w:rPr>
          <w:sz w:val="20"/>
          <w:szCs w:val="20"/>
        </w:rPr>
        <w:t>2</w:t>
      </w:r>
      <w:r>
        <w:rPr>
          <w:rFonts w:hint="eastAsia" w:cs="宋体"/>
          <w:sz w:val="20"/>
          <w:szCs w:val="20"/>
        </w:rPr>
        <w:t>）乙方在参展期间需对财产损毁、展品丢失或损坏、人身伤亡及等情形购买相关保险，否则相关责任由乙方自行承担。</w:t>
      </w:r>
    </w:p>
    <w:p>
      <w:pPr>
        <w:rPr>
          <w:rFonts w:cs="Times New Roman"/>
          <w:sz w:val="20"/>
          <w:szCs w:val="20"/>
        </w:rPr>
      </w:pPr>
      <w:r>
        <w:rPr>
          <w:sz w:val="20"/>
          <w:szCs w:val="20"/>
        </w:rPr>
        <w:t>8</w:t>
      </w:r>
      <w:r>
        <w:rPr>
          <w:rFonts w:hint="eastAsia" w:cs="宋体"/>
          <w:sz w:val="20"/>
          <w:szCs w:val="20"/>
          <w:lang w:eastAsia="zh-CN"/>
        </w:rPr>
        <w:t>.</w:t>
      </w:r>
      <w:r>
        <w:rPr>
          <w:rFonts w:hint="eastAsia" w:cs="宋体"/>
          <w:sz w:val="20"/>
          <w:szCs w:val="20"/>
        </w:rPr>
        <w:t>变更条款。</w:t>
      </w:r>
    </w:p>
    <w:p>
      <w:pPr>
        <w:rPr>
          <w:rFonts w:cs="Times New Roman"/>
          <w:sz w:val="20"/>
          <w:szCs w:val="20"/>
        </w:rPr>
      </w:pPr>
      <w:r>
        <w:rPr>
          <w:rFonts w:hint="eastAsia" w:cs="宋体"/>
          <w:sz w:val="20"/>
          <w:szCs w:val="20"/>
        </w:rPr>
        <w:t>甲方在能力范围内提供展会服务。甲方有权根据特殊情况（如灾情、疫情、战争、动乱等不可抗力因素，以及政府行为、参展商数量不足等情形）延迟、缩减、临时取消整个或部分展览会。若完全或部分延迟或缩减展览会，则协议适用于新的展期，除非乙方在被通告调整后的５个工作日内以书面形式提出异议，否则已确定的费用将不予任何减免，而乙方因此发生的费用也不予补偿。若临时取消整个展览会，甲方将无息退还已收取乙方所支付的款项，双方互不追究其他责任。</w:t>
      </w:r>
    </w:p>
    <w:p>
      <w:pPr>
        <w:rPr>
          <w:rFonts w:cs="Times New Roman"/>
          <w:sz w:val="20"/>
          <w:szCs w:val="20"/>
        </w:rPr>
      </w:pPr>
      <w:r>
        <w:rPr>
          <w:sz w:val="20"/>
          <w:szCs w:val="20"/>
        </w:rPr>
        <w:t>9</w:t>
      </w:r>
      <w:r>
        <w:rPr>
          <w:rFonts w:hint="eastAsia" w:cs="宋体"/>
          <w:sz w:val="20"/>
          <w:szCs w:val="20"/>
          <w:lang w:eastAsia="zh-CN"/>
        </w:rPr>
        <w:t>.</w:t>
      </w:r>
      <w:r>
        <w:rPr>
          <w:rFonts w:hint="eastAsia" w:cs="宋体"/>
          <w:sz w:val="20"/>
          <w:szCs w:val="20"/>
        </w:rPr>
        <w:t>补充条款。甲方将会向乙方发送《参展商手册》，请乙方及时认真阅读《参展商手册》的相关内容，并承诺严格遵守所有展会相关规定。</w:t>
      </w:r>
    </w:p>
    <w:p>
      <w:pPr>
        <w:rPr>
          <w:rFonts w:cs="Times New Roman"/>
        </w:rPr>
      </w:pPr>
      <w:r>
        <w:rPr>
          <w:sz w:val="20"/>
          <w:szCs w:val="20"/>
        </w:rPr>
        <w:t>10</w:t>
      </w:r>
      <w:r>
        <w:rPr>
          <w:rFonts w:hint="eastAsia" w:cs="宋体"/>
          <w:sz w:val="20"/>
          <w:szCs w:val="20"/>
          <w:lang w:eastAsia="zh-CN"/>
        </w:rPr>
        <w:t>.</w:t>
      </w:r>
      <w:r>
        <w:rPr>
          <w:rFonts w:hint="eastAsia" w:cs="宋体"/>
          <w:sz w:val="20"/>
          <w:szCs w:val="20"/>
        </w:rPr>
        <w:t>以上条款最终解释权归甲方所有。</w:t>
      </w:r>
      <w:bookmarkEnd w:id="0"/>
      <w:bookmarkEnd w:id="1"/>
      <w:bookmarkEnd w:id="2"/>
      <w:bookmarkEnd w:id="3"/>
    </w:p>
    <w:p/>
    <w:sectPr>
      <w:pgSz w:w="11906" w:h="18142"/>
      <w:pgMar w:top="1434" w:right="1416" w:bottom="1327" w:left="1380" w:header="851"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29177C"/>
    <w:rsid w:val="0454425F"/>
    <w:rsid w:val="58291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2019-04-15T09:42:00Z</dcterms:created>
  <dc:creator>Z_H</dc:creator>
  <cp:lastModifiedBy>Z_H</cp:lastModifiedBy>
  <dcterms:modified xsi:type="dcterms:W3CDTF">2019-04-16T10:19:04Z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